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spacing w:lineRule="exact" w:line="460" w:before="0" w:after="100"/>
        <w:jc w:val="center"/>
        <w:rPr>
          <w:rFonts w:eastAsia="標楷體"/>
          <w:bCs/>
          <w:sz w:val="40"/>
          <w:szCs w:val="40"/>
        </w:rPr>
      </w:pPr>
      <w:r>
        <w:rPr>
          <w:rFonts w:eastAsia="標楷體"/>
          <w:bCs/>
          <w:sz w:val="40"/>
          <w:szCs w:val="40"/>
        </w:rPr>
        <w:tab/>
      </w:r>
      <w:r>
        <w:rPr>
          <w:rFonts w:eastAsia="標楷體"/>
          <w:bCs/>
          <w:sz w:val="40"/>
          <w:szCs w:val="40"/>
        </w:rPr>
        <w:t>指定公告應置廢棄物專業技術人員之事業</w:t>
      </w:r>
    </w:p>
    <w:p>
      <w:pPr>
        <w:pStyle w:val="Style19"/>
        <w:suppressAutoHyphens w:val="true"/>
        <w:spacing w:lineRule="exact" w:line="460"/>
        <w:ind w:left="850" w:right="0" w:hanging="850"/>
        <w:jc w:val="both"/>
        <w:textAlignment w:val="baseline"/>
        <w:rPr>
          <w:rFonts w:eastAsia="標楷體"/>
          <w:sz w:val="28"/>
          <w:szCs w:val="28"/>
        </w:rPr>
      </w:pPr>
      <w:r>
        <w:rPr>
          <w:rFonts w:eastAsia="標楷體"/>
          <w:sz w:val="28"/>
          <w:szCs w:val="28"/>
        </w:rPr>
        <w:t>主旨：修正「指定公告應置廢棄物專業技術人員之事業」，並自即日生效。</w:t>
      </w:r>
    </w:p>
    <w:p>
      <w:pPr>
        <w:pStyle w:val="Style19"/>
        <w:spacing w:lineRule="exact" w:line="460"/>
        <w:jc w:val="both"/>
        <w:rPr>
          <w:rFonts w:eastAsia="標楷體"/>
          <w:sz w:val="28"/>
          <w:szCs w:val="28"/>
        </w:rPr>
      </w:pPr>
      <w:r>
        <w:rPr>
          <w:rFonts w:eastAsia="標楷體"/>
          <w:sz w:val="28"/>
          <w:szCs w:val="28"/>
        </w:rPr>
        <w:t>依據：廢棄物清理法（以下簡稱本法）第二十八條第二項。</w:t>
      </w:r>
    </w:p>
    <w:p>
      <w:pPr>
        <w:pStyle w:val="Style19"/>
        <w:spacing w:lineRule="exact" w:line="460"/>
        <w:jc w:val="both"/>
        <w:rPr>
          <w:rFonts w:eastAsia="標楷體"/>
          <w:sz w:val="28"/>
          <w:szCs w:val="28"/>
        </w:rPr>
      </w:pPr>
      <w:r>
        <w:rPr>
          <w:rFonts w:eastAsia="標楷體"/>
          <w:sz w:val="28"/>
          <w:szCs w:val="28"/>
        </w:rPr>
        <w:t>公告事項：</w:t>
      </w:r>
    </w:p>
    <w:p>
      <w:pPr>
        <w:pStyle w:val="Style19"/>
        <w:spacing w:lineRule="exact" w:line="460"/>
        <w:jc w:val="both"/>
        <w:rPr>
          <w:rFonts w:eastAsia="標楷體"/>
          <w:sz w:val="28"/>
          <w:szCs w:val="28"/>
        </w:rPr>
      </w:pPr>
      <w:r>
        <w:rPr>
          <w:rFonts w:eastAsia="標楷體"/>
          <w:sz w:val="28"/>
          <w:szCs w:val="28"/>
        </w:rPr>
        <w:t>一、應置廢棄物專業技術人員（以下簡稱專業技術人員）之事業如下：</w:t>
      </w:r>
    </w:p>
    <w:p>
      <w:pPr>
        <w:pStyle w:val="Style19"/>
        <w:tabs>
          <w:tab w:val="clear" w:pos="120"/>
          <w:tab w:val="left" w:pos="2155" w:leader="none"/>
        </w:tabs>
        <w:suppressAutoHyphens w:val="true"/>
        <w:spacing w:lineRule="exact" w:line="460"/>
        <w:ind w:left="1417" w:right="0" w:hanging="850"/>
        <w:jc w:val="both"/>
        <w:textAlignment w:val="baseline"/>
        <w:rPr>
          <w:rFonts w:eastAsia="標楷體"/>
          <w:sz w:val="28"/>
          <w:szCs w:val="28"/>
        </w:rPr>
      </w:pPr>
      <w:r>
        <w:rPr>
          <w:rFonts w:eastAsia="標楷體"/>
          <w:sz w:val="28"/>
          <w:szCs w:val="28"/>
        </w:rPr>
        <w:t>（一）應檢具事業廢棄物清理計畫書之製造業，且其登記資本額在新臺幣二十億元以上者。</w:t>
      </w:r>
    </w:p>
    <w:p>
      <w:pPr>
        <w:pStyle w:val="Style19"/>
        <w:tabs>
          <w:tab w:val="clear" w:pos="120"/>
          <w:tab w:val="left" w:pos="2155" w:leader="none"/>
        </w:tabs>
        <w:suppressAutoHyphens w:val="true"/>
        <w:spacing w:lineRule="exact" w:line="460"/>
        <w:ind w:left="1417" w:right="0" w:hanging="850"/>
        <w:jc w:val="both"/>
        <w:textAlignment w:val="baseline"/>
        <w:rPr>
          <w:rFonts w:eastAsia="標楷體"/>
          <w:sz w:val="28"/>
          <w:szCs w:val="28"/>
        </w:rPr>
      </w:pPr>
      <w:r>
        <w:rPr>
          <w:rFonts w:eastAsia="標楷體"/>
          <w:sz w:val="28"/>
          <w:szCs w:val="28"/>
        </w:rPr>
        <w:t>（二）許可病床數在五十床以上之醫療機構。</w:t>
      </w:r>
    </w:p>
    <w:p>
      <w:pPr>
        <w:pStyle w:val="Style19"/>
        <w:tabs>
          <w:tab w:val="clear" w:pos="120"/>
          <w:tab w:val="left" w:pos="2099" w:leader="none"/>
        </w:tabs>
        <w:suppressAutoHyphens w:val="true"/>
        <w:spacing w:lineRule="exact" w:line="460"/>
        <w:ind w:left="1361" w:right="0" w:hanging="794"/>
        <w:jc w:val="both"/>
        <w:textAlignment w:val="baseline"/>
        <w:rPr>
          <w:rFonts w:eastAsia="標楷體"/>
          <w:sz w:val="28"/>
          <w:szCs w:val="28"/>
        </w:rPr>
      </w:pPr>
      <w:r>
        <w:rPr>
          <w:rFonts w:eastAsia="標楷體"/>
          <w:sz w:val="28"/>
          <w:szCs w:val="28"/>
        </w:rPr>
        <w:t>（三）產生有害事業廢棄物認定標準第三條第一款有害事業廢棄物之各行業，且其登記資本額在新臺幣一千萬元以上者。</w:t>
      </w:r>
    </w:p>
    <w:p>
      <w:pPr>
        <w:pStyle w:val="Style19"/>
        <w:tabs>
          <w:tab w:val="clear" w:pos="120"/>
          <w:tab w:val="left" w:pos="2099" w:leader="none"/>
        </w:tabs>
        <w:suppressAutoHyphens w:val="true"/>
        <w:spacing w:lineRule="exact" w:line="460"/>
        <w:ind w:left="1361" w:right="0" w:hanging="850"/>
        <w:jc w:val="both"/>
        <w:textAlignment w:val="baseline"/>
        <w:rPr>
          <w:rFonts w:eastAsia="標楷體"/>
          <w:sz w:val="28"/>
          <w:szCs w:val="28"/>
        </w:rPr>
      </w:pPr>
      <w:r>
        <w:rPr>
          <w:rFonts w:eastAsia="標楷體"/>
          <w:sz w:val="28"/>
          <w:szCs w:val="28"/>
        </w:rPr>
        <w:t>（四）設有廢棄物焚化爐，總設計或實際處理量大於每小時四百公斤者。</w:t>
      </w:r>
    </w:p>
    <w:p>
      <w:pPr>
        <w:pStyle w:val="Style19"/>
        <w:tabs>
          <w:tab w:val="clear" w:pos="120"/>
          <w:tab w:val="left" w:pos="2099" w:leader="none"/>
        </w:tabs>
        <w:suppressAutoHyphens w:val="true"/>
        <w:spacing w:lineRule="exact" w:line="460"/>
        <w:ind w:left="1361" w:right="0" w:hanging="850"/>
        <w:jc w:val="both"/>
        <w:textAlignment w:val="baseline"/>
        <w:rPr>
          <w:rFonts w:eastAsia="標楷體"/>
          <w:sz w:val="28"/>
          <w:szCs w:val="28"/>
        </w:rPr>
      </w:pPr>
      <w:r>
        <w:rPr>
          <w:rFonts w:eastAsia="標楷體"/>
          <w:sz w:val="28"/>
          <w:szCs w:val="28"/>
        </w:rPr>
        <w:t>（五）事業廢棄物清理計畫書所登載之有害事業廢棄物最大月產量大於六十公噸，且其登記資本額在新臺幣一千萬元以上者。</w:t>
      </w:r>
    </w:p>
    <w:p>
      <w:pPr>
        <w:pStyle w:val="Style19"/>
        <w:tabs>
          <w:tab w:val="clear" w:pos="120"/>
          <w:tab w:val="left" w:pos="2099" w:leader="none"/>
        </w:tabs>
        <w:suppressAutoHyphens w:val="true"/>
        <w:spacing w:lineRule="exact" w:line="460"/>
        <w:ind w:left="1361" w:right="0" w:hanging="850"/>
        <w:jc w:val="both"/>
        <w:textAlignment w:val="baseline"/>
        <w:rPr>
          <w:rFonts w:eastAsia="標楷體"/>
          <w:sz w:val="28"/>
          <w:szCs w:val="28"/>
        </w:rPr>
      </w:pPr>
      <w:r>
        <w:rPr>
          <w:rFonts w:eastAsia="標楷體"/>
          <w:sz w:val="28"/>
          <w:szCs w:val="28"/>
        </w:rPr>
        <w:t>（六）事業廢棄物清理計畫書所登載之非有害污泥最大月產量大於一百公噸，且其登記資本額在新臺幣一千萬元以上者。</w:t>
      </w:r>
    </w:p>
    <w:p>
      <w:pPr>
        <w:pStyle w:val="Style19"/>
        <w:suppressAutoHyphens w:val="true"/>
        <w:spacing w:lineRule="exact" w:line="460"/>
        <w:ind w:left="567" w:right="0" w:hanging="567"/>
        <w:jc w:val="both"/>
        <w:textAlignment w:val="baseline"/>
        <w:rPr>
          <w:rFonts w:eastAsia="標楷體"/>
          <w:sz w:val="28"/>
          <w:szCs w:val="28"/>
        </w:rPr>
      </w:pPr>
      <w:r>
        <w:rPr>
          <w:rFonts w:eastAsia="標楷體"/>
          <w:sz w:val="28"/>
          <w:szCs w:val="28"/>
        </w:rPr>
        <w:t>二、指定公告應置專業技術人員之事業（以下簡稱事業），應至少置乙級以上處理技術員一人。但事業採自行清除或處理有害事業廢棄物者，應至少置甲級處理技術員一人。</w:t>
      </w:r>
    </w:p>
    <w:p>
      <w:pPr>
        <w:pStyle w:val="Style19"/>
        <w:suppressAutoHyphens w:val="true"/>
        <w:spacing w:lineRule="exact" w:line="460"/>
        <w:ind w:left="567" w:right="0" w:hanging="0"/>
        <w:jc w:val="both"/>
        <w:textAlignment w:val="baseline"/>
        <w:rPr>
          <w:rFonts w:eastAsia="標楷體"/>
          <w:sz w:val="28"/>
          <w:szCs w:val="28"/>
        </w:rPr>
      </w:pPr>
      <w:r>
        <w:rPr>
          <w:rFonts w:eastAsia="標楷體"/>
          <w:sz w:val="28"/>
          <w:szCs w:val="28"/>
        </w:rPr>
        <w:t>事業設置之專業技術人員，應專任並常駐於設施機構，不得兼任環保法規以外其他法規所定專責（任）人員；屬應取得自行處理許可文件之事業，除擔任設施機構之負責人或主管外，亦不得從事其他與污染防制（治）無關之工作。</w:t>
      </w:r>
    </w:p>
    <w:p>
      <w:pPr>
        <w:pStyle w:val="Style19"/>
        <w:suppressAutoHyphens w:val="true"/>
        <w:spacing w:lineRule="exact" w:line="460"/>
        <w:ind w:left="624" w:right="0" w:hanging="624"/>
        <w:jc w:val="both"/>
        <w:textAlignment w:val="baseline"/>
        <w:rPr>
          <w:rFonts w:eastAsia="標楷體"/>
          <w:sz w:val="28"/>
          <w:szCs w:val="28"/>
        </w:rPr>
      </w:pPr>
      <w:r>
        <w:rPr>
          <w:rFonts w:eastAsia="標楷體"/>
          <w:sz w:val="28"/>
          <w:szCs w:val="28"/>
        </w:rPr>
        <w:t>三、事業應檢具專業技術人員合格證書及設置申請書，向直轄市、縣（市）主管機關申請核定，並辦理事業廢棄物清理計畫書之異動；其申請除經直轄市、縣（市）主管機關同意，得以書面方式申請者外，應採網路傳輸方式辦理。</w:t>
      </w:r>
    </w:p>
    <w:p>
      <w:pPr>
        <w:pStyle w:val="Style19"/>
        <w:suppressAutoHyphens w:val="true"/>
        <w:spacing w:lineRule="exact" w:line="460"/>
        <w:ind w:left="624" w:right="0" w:hanging="624"/>
        <w:jc w:val="both"/>
        <w:textAlignment w:val="baseline"/>
        <w:rPr>
          <w:rFonts w:eastAsia="標楷體"/>
          <w:sz w:val="28"/>
          <w:szCs w:val="28"/>
        </w:rPr>
      </w:pPr>
      <w:r>
        <w:rPr>
          <w:rFonts w:eastAsia="標楷體"/>
          <w:sz w:val="28"/>
          <w:szCs w:val="28"/>
        </w:rPr>
        <w:t>四、事業聘僱之專業技術人員未能從事業務或離職時，該事業應於十五日內指定代理人報請主管機關備查，並應於九十日內另聘符合資格規定者繼任。但採自行清除或處理有害事業廢棄物之事業設置之甲級處理技術員，應於三十日內另聘之；其情形特殊，經直轄市、縣（市）主管機關核定者，得申請展延，惟不得超過原九十日之規定。專業技術人員另聘時，該事業應於十五日內報請直轄市、縣（市）主管機關備查，並辦理事業廢棄物清理計畫書之異動；其申請除經直轄市、縣（市）主管機關同意，得以書面方式申請者外，應採網路傳輸方式辦理。</w:t>
      </w:r>
    </w:p>
    <w:p>
      <w:pPr>
        <w:pStyle w:val="Style19"/>
        <w:suppressAutoHyphens w:val="true"/>
        <w:spacing w:lineRule="exact" w:line="460"/>
        <w:ind w:left="567" w:right="0" w:hanging="567"/>
        <w:jc w:val="both"/>
        <w:textAlignment w:val="baseline"/>
        <w:rPr>
          <w:rFonts w:eastAsia="標楷體"/>
          <w:sz w:val="28"/>
          <w:szCs w:val="28"/>
        </w:rPr>
      </w:pPr>
      <w:r>
        <w:rPr>
          <w:rFonts w:eastAsia="標楷體"/>
          <w:sz w:val="28"/>
          <w:szCs w:val="28"/>
        </w:rPr>
        <w:t>五、廢棄物專業技術人員，具備其他類環境保護專責及技術人員之資格，且設置級別符合法規規定者，得於同一處所內，同時兼任其他類環境保護專責及技術人員。</w:t>
      </w:r>
    </w:p>
    <w:p>
      <w:pPr>
        <w:pStyle w:val="Style19"/>
        <w:suppressAutoHyphens w:val="true"/>
        <w:spacing w:lineRule="exact" w:line="460"/>
        <w:ind w:left="567" w:right="0" w:hanging="567"/>
        <w:jc w:val="both"/>
        <w:textAlignment w:val="baseline"/>
        <w:rPr>
          <w:rFonts w:eastAsia="標楷體"/>
          <w:sz w:val="28"/>
          <w:szCs w:val="28"/>
        </w:rPr>
      </w:pPr>
      <w:r>
        <w:rPr>
          <w:rFonts w:eastAsia="標楷體"/>
          <w:sz w:val="28"/>
          <w:szCs w:val="28"/>
        </w:rPr>
        <w:t>六、事業除屬依本法第二十八條第三項至第五項、第二十九條第二項及第四十二條所定管理辦法之適用對象者，其專業技術人員之設置應依各該管理辦法規定辦理外，其他事業應置專業技術人員種類、等級及人數，依本公告之規定辦理。</w:t>
      </w:r>
    </w:p>
    <w:p>
      <w:pPr>
        <w:pStyle w:val="Style19"/>
        <w:suppressAutoHyphens w:val="true"/>
        <w:spacing w:lineRule="exact" w:line="460"/>
        <w:ind w:left="567" w:right="0" w:hanging="567"/>
        <w:jc w:val="both"/>
        <w:textAlignment w:val="baseline"/>
        <w:rPr>
          <w:rFonts w:eastAsia="標楷體"/>
          <w:sz w:val="28"/>
          <w:szCs w:val="28"/>
        </w:rPr>
      </w:pPr>
      <w:r>
        <w:rPr>
          <w:rFonts w:eastAsia="標楷體"/>
          <w:sz w:val="28"/>
          <w:szCs w:val="28"/>
        </w:rPr>
        <w:t>七、事業有下列情形之一者，得檢附相關證明文件向直轄市、縣（市）主管機關申請免設置專業技術人員，經直轄市、縣（市）主管機關查核屬實後，得免設置之：</w:t>
      </w:r>
    </w:p>
    <w:p>
      <w:pPr>
        <w:pStyle w:val="Style19"/>
        <w:suppressAutoHyphens w:val="true"/>
        <w:spacing w:lineRule="exact" w:line="460"/>
        <w:ind w:left="0" w:right="0" w:firstLine="624"/>
        <w:jc w:val="both"/>
        <w:textAlignment w:val="baseline"/>
        <w:rPr>
          <w:rFonts w:eastAsia="標楷體"/>
          <w:sz w:val="28"/>
          <w:szCs w:val="28"/>
        </w:rPr>
      </w:pPr>
      <w:r>
        <w:rPr>
          <w:rFonts w:eastAsia="標楷體"/>
          <w:sz w:val="28"/>
          <w:szCs w:val="28"/>
        </w:rPr>
        <w:t>（一）停工。</w:t>
      </w:r>
    </w:p>
    <w:p>
      <w:pPr>
        <w:pStyle w:val="Style19"/>
        <w:suppressAutoHyphens w:val="true"/>
        <w:spacing w:lineRule="exact" w:line="460"/>
        <w:ind w:left="0" w:right="0" w:firstLine="624"/>
        <w:jc w:val="both"/>
        <w:textAlignment w:val="baseline"/>
        <w:rPr>
          <w:rFonts w:eastAsia="標楷體"/>
          <w:sz w:val="28"/>
          <w:szCs w:val="28"/>
        </w:rPr>
      </w:pPr>
      <w:r>
        <w:rPr>
          <w:rFonts w:eastAsia="標楷體"/>
          <w:sz w:val="28"/>
          <w:szCs w:val="28"/>
        </w:rPr>
        <w:t>（二）停業。</w:t>
      </w:r>
    </w:p>
    <w:p>
      <w:pPr>
        <w:pStyle w:val="Style19"/>
        <w:suppressAutoHyphens w:val="true"/>
        <w:spacing w:lineRule="exact" w:line="460"/>
        <w:ind w:left="0" w:right="0" w:firstLine="624"/>
        <w:jc w:val="both"/>
        <w:textAlignment w:val="baseline"/>
        <w:rPr>
          <w:rFonts w:eastAsia="標楷體"/>
          <w:sz w:val="28"/>
          <w:szCs w:val="28"/>
        </w:rPr>
      </w:pPr>
      <w:r>
        <w:rPr>
          <w:rFonts w:eastAsia="標楷體"/>
          <w:sz w:val="28"/>
          <w:szCs w:val="28"/>
        </w:rPr>
        <w:t>（三）僅產生員工生活垃圾者。</w:t>
      </w:r>
    </w:p>
    <w:p>
      <w:pPr>
        <w:pStyle w:val="Style19"/>
        <w:tabs>
          <w:tab w:val="clear" w:pos="120"/>
          <w:tab w:val="left" w:pos="1467" w:leader="none"/>
        </w:tabs>
        <w:suppressAutoHyphens w:val="true"/>
        <w:spacing w:lineRule="exact" w:line="460"/>
        <w:ind w:left="1417" w:right="0" w:hanging="794"/>
        <w:jc w:val="both"/>
        <w:textAlignment w:val="baseline"/>
        <w:rPr>
          <w:rFonts w:eastAsia="標楷體"/>
          <w:sz w:val="28"/>
          <w:szCs w:val="28"/>
        </w:rPr>
      </w:pPr>
      <w:r>
        <w:rPr>
          <w:rFonts w:eastAsia="標楷體"/>
          <w:sz w:val="28"/>
          <w:szCs w:val="28"/>
        </w:rPr>
        <w:t>（四）營運或製造過程僅產生一般事業廢棄物，且實際產量平均每月未達五公噸或每年未達六十公噸者。</w:t>
      </w:r>
    </w:p>
    <w:p>
      <w:pPr>
        <w:pStyle w:val="Style19"/>
        <w:suppressAutoHyphens w:val="true"/>
        <w:spacing w:lineRule="exact" w:line="460"/>
        <w:ind w:left="567" w:right="0" w:hanging="567"/>
        <w:jc w:val="both"/>
        <w:textAlignment w:val="baseline"/>
        <w:rPr>
          <w:rFonts w:eastAsia="標楷體"/>
          <w:sz w:val="28"/>
          <w:szCs w:val="28"/>
        </w:rPr>
      </w:pPr>
      <w:r>
        <w:rPr>
          <w:rFonts w:eastAsia="標楷體"/>
          <w:sz w:val="28"/>
          <w:szCs w:val="28"/>
        </w:rPr>
        <w:t>八、事業於同一工業區、加工出口區或科學工業園區內有二家以上同法人所屬事業，其已在區內設專責機構，負責各事業之廢棄物清理業務，且該機構置三位以上甲級處理技術員者，位於同一區內之各事業，得免再分別置專業技術人員。</w:t>
      </w:r>
    </w:p>
    <w:p>
      <w:pPr>
        <w:pStyle w:val="Style19"/>
        <w:suppressAutoHyphens w:val="true"/>
        <w:spacing w:lineRule="exact" w:line="460"/>
        <w:ind w:left="567" w:right="0" w:hanging="567"/>
        <w:jc w:val="both"/>
        <w:textAlignment w:val="baseline"/>
        <w:rPr/>
      </w:pPr>
      <w:r>
        <w:rPr>
          <w:rStyle w:val="Style12"/>
          <w:rFonts w:eastAsia="標楷體"/>
          <w:sz w:val="28"/>
          <w:szCs w:val="28"/>
        </w:rPr>
        <w:t>九、事業之廢棄物處理設施委託他機構代為操作者，如受託機構已置符合規定種類及等級之專業技術人員，且派任於事業負貴該事業之廢棄物清理相關業務執行及設施之操作時，該派任之人員視為事業設置之專業技術人員。</w:t>
      </w:r>
    </w:p>
    <w:sectPr>
      <w:footerReference w:type="default" r:id="rId2"/>
      <w:type w:val="nextPage"/>
      <w:pgSz w:w="11906" w:h="16838"/>
      <w:pgMar w:left="1701" w:right="1418" w:gutter="0" w:header="0" w:top="851" w:footer="499" w:bottom="1418"/>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mbria">
    <w:charset w:val="88"/>
    <w:family w:val="roman"/>
    <w:pitch w:val="variable"/>
  </w:font>
  <w:font w:name="Times New Roman">
    <w:charset w:val="88"/>
    <w:family w:val="roman"/>
    <w:pitch w:val="variable"/>
  </w:font>
  <w:font w:name="Helvetica">
    <w:altName w:val="Arial"/>
    <w:charset w:val="88"/>
    <w:family w:val="swiss"/>
    <w:pitch w:val="variable"/>
  </w:font>
  <w:font w:name="細明體">
    <w:charset w:val="88"/>
    <w:family w:val="modern"/>
    <w:pitch w:val="fixed"/>
  </w:font>
  <w:font w:name="Liberation Sans">
    <w:altName w:val="Arial"/>
    <w:charset w:val="88"/>
    <w:family w:val="swiss"/>
    <w:pitch w:val="variable"/>
  </w:font>
  <w:font w:name="標楷體">
    <w:charset w:val="88"/>
    <w:family w:val="script"/>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rStyle w:val="Style12"/>
        <w:lang w:val="zh-TW"/>
      </w:rPr>
    </w:pPr>
    <w:r>
      <w:rPr/>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2"/>
      <w:numFmt w:val="none"/>
      <w:suff w:val="nothing"/>
      <w:lvlText w:val="%2"/>
      <w:lvlJc w:val="left"/>
      <w:pPr>
        <w:tabs>
          <w:tab w:val="num" w:pos="0"/>
        </w:tabs>
        <w:ind w:left="0" w:hanging="0"/>
      </w:pPr>
    </w:lvl>
    <w:lvl w:ilvl="2">
      <w:start w:val="1"/>
      <w:pStyle w:val="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1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tLeast" w:line="500"/>
      <w:jc w:val="left"/>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2">
    <w:name w:val="Heading 2"/>
    <w:basedOn w:val="Style19"/>
    <w:next w:val="Style19"/>
    <w:qFormat/>
    <w:pPr>
      <w:keepNext w:val="true"/>
      <w:numPr>
        <w:ilvl w:val="1"/>
        <w:numId w:val="1"/>
      </w:numPr>
      <w:suppressAutoHyphens w:val="true"/>
      <w:spacing w:lineRule="atLeast" w:line="720"/>
      <w:outlineLvl w:val="1"/>
    </w:pPr>
    <w:rPr>
      <w:rFonts w:ascii="Cambria" w:hAnsi="Cambria" w:eastAsia="新細明體" w:cs="Times New Roman"/>
      <w:b/>
      <w:bCs/>
      <w:sz w:val="48"/>
      <w:szCs w:val="48"/>
    </w:rPr>
  </w:style>
  <w:style w:type="paragraph" w:styleId="3">
    <w:name w:val="Heading 3"/>
    <w:basedOn w:val="Style19"/>
    <w:next w:val="Style19"/>
    <w:qFormat/>
    <w:pPr>
      <w:keepNext w:val="true"/>
      <w:numPr>
        <w:ilvl w:val="2"/>
        <w:numId w:val="1"/>
      </w:numPr>
      <w:suppressAutoHyphens w:val="true"/>
      <w:spacing w:lineRule="atLeast" w:line="720"/>
      <w:outlineLvl w:val="2"/>
    </w:pPr>
    <w:rPr>
      <w:rFonts w:ascii="Cambria" w:hAnsi="Cambria" w:eastAsia="新細明體" w:cs="Times New Roman"/>
      <w:b/>
      <w:bCs/>
      <w:sz w:val="36"/>
      <w:szCs w:val="36"/>
    </w:rPr>
  </w:style>
  <w:style w:type="character" w:styleId="Style12">
    <w:name w:val="預設段落字型"/>
    <w:qFormat/>
    <w:rPr/>
  </w:style>
  <w:style w:type="character" w:styleId="Style13">
    <w:name w:val="頁首 字元"/>
    <w:basedOn w:val="Style12"/>
    <w:qFormat/>
    <w:rPr>
      <w:rFonts w:ascii="Times New Roman" w:hAnsi="Times New Roman" w:eastAsia="新細明體" w:cs="Times New Roman"/>
      <w:sz w:val="20"/>
      <w:szCs w:val="20"/>
    </w:rPr>
  </w:style>
  <w:style w:type="character" w:styleId="Style14">
    <w:name w:val="頁尾 字元"/>
    <w:basedOn w:val="Style12"/>
    <w:qFormat/>
    <w:rPr>
      <w:rFonts w:ascii="Times New Roman" w:hAnsi="Times New Roman" w:eastAsia="新細明體" w:cs="Times New Roman"/>
      <w:sz w:val="20"/>
      <w:szCs w:val="20"/>
    </w:rPr>
  </w:style>
  <w:style w:type="character" w:styleId="Style15">
    <w:name w:val="表格文字 字元"/>
    <w:basedOn w:val="Style12"/>
    <w:qFormat/>
    <w:rPr>
      <w:rFonts w:ascii="Times New Roman" w:hAnsi="Times New Roman" w:eastAsia="新細明體" w:cs="Times New Roman"/>
      <w:kern w:val="0"/>
      <w:szCs w:val="24"/>
      <w:lang w:bidi="bo-BT"/>
    </w:rPr>
  </w:style>
  <w:style w:type="character" w:styleId="Style16">
    <w:name w:val="註解方塊文字 字元"/>
    <w:basedOn w:val="Style12"/>
    <w:qFormat/>
    <w:rPr>
      <w:rFonts w:ascii="Cambria" w:hAnsi="Cambria" w:eastAsia="新細明體" w:cs="Times New Roman"/>
      <w:sz w:val="18"/>
      <w:szCs w:val="18"/>
    </w:rPr>
  </w:style>
  <w:style w:type="character" w:styleId="S1">
    <w:name w:val="s1"/>
    <w:basedOn w:val="Style12"/>
    <w:qFormat/>
    <w:rPr>
      <w:rFonts w:ascii="Helvetica" w:hAnsi="Helvetica" w:cs="Helvetica"/>
      <w:b w:val="false"/>
      <w:bCs w:val="false"/>
      <w:i w:val="false"/>
      <w:iCs w:val="false"/>
      <w:sz w:val="24"/>
      <w:szCs w:val="24"/>
    </w:rPr>
  </w:style>
  <w:style w:type="character" w:styleId="21">
    <w:name w:val="標題 2 字元"/>
    <w:basedOn w:val="Style12"/>
    <w:qFormat/>
    <w:rPr>
      <w:rFonts w:ascii="Cambria" w:hAnsi="Cambria" w:eastAsia="新細明體" w:cs="Times New Roman"/>
      <w:b/>
      <w:bCs/>
      <w:sz w:val="48"/>
      <w:szCs w:val="48"/>
    </w:rPr>
  </w:style>
  <w:style w:type="character" w:styleId="Style17">
    <w:name w:val="本文 字元"/>
    <w:basedOn w:val="Style12"/>
    <w:qFormat/>
    <w:rPr>
      <w:rFonts w:ascii="Times New Roman" w:hAnsi="Times New Roman" w:eastAsia="標楷體" w:cs="Times New Roman"/>
      <w:b/>
      <w:bCs/>
      <w:spacing w:val="2"/>
      <w:kern w:val="0"/>
      <w:sz w:val="40"/>
      <w:szCs w:val="24"/>
    </w:rPr>
  </w:style>
  <w:style w:type="character" w:styleId="HTML">
    <w:name w:val="HTML 預設格式 字元"/>
    <w:basedOn w:val="Style12"/>
    <w:qFormat/>
    <w:rPr>
      <w:rFonts w:ascii="細明體" w:hAnsi="細明體" w:eastAsia="細明體" w:cs="細明體"/>
      <w:color w:val="000000"/>
      <w:kern w:val="0"/>
      <w:szCs w:val="24"/>
      <w:lang w:bidi="hi-IN"/>
    </w:rPr>
  </w:style>
  <w:style w:type="character" w:styleId="31">
    <w:name w:val="標題 3 字元"/>
    <w:basedOn w:val="Style12"/>
    <w:qFormat/>
    <w:rPr>
      <w:rFonts w:ascii="Cambria" w:hAnsi="Cambria" w:eastAsia="新細明體" w:cs="Times New Roman"/>
      <w:b/>
      <w:bCs/>
      <w:sz w:val="36"/>
      <w:szCs w:val="36"/>
    </w:rPr>
  </w:style>
  <w:style w:type="character" w:styleId="WWCharLFO1LVL1">
    <w:name w:val="WW_CharLFO1LVL1"/>
    <w:qFormat/>
    <w:rPr>
      <w:lang w:val="en-US"/>
    </w:rPr>
  </w:style>
  <w:style w:type="character" w:styleId="WWCharLFO3LVL1">
    <w:name w:val="WW_CharLFO3LVL1"/>
    <w:qFormat/>
    <w:rPr>
      <w:rFonts w:ascii="Times New Roman" w:hAnsi="Times New Roman" w:cs="Times New Roman"/>
    </w:rPr>
  </w:style>
  <w:style w:type="character" w:styleId="WWCharLFO4LVL1">
    <w:name w:val="WW_CharLFO4LVL1"/>
    <w:qFormat/>
    <w:rPr>
      <w:rFonts w:ascii="Times New Roman" w:hAnsi="Times New Roman" w:cs="Times New Roman"/>
    </w:rPr>
  </w:style>
  <w:style w:type="character" w:styleId="WWCharLFO5LVL1">
    <w:name w:val="WW_CharLFO5LVL1"/>
    <w:qFormat/>
    <w:rPr>
      <w:lang w:val="en-US"/>
    </w:rPr>
  </w:style>
  <w:style w:type="character" w:styleId="WWCharLFO6LVL1">
    <w:name w:val="WW_CharLFO6LVL1"/>
    <w:qFormat/>
    <w:rPr>
      <w:rFonts w:ascii="Times New Roman" w:hAnsi="Times New Roman" w:cs="Times New Roman"/>
    </w:rPr>
  </w:style>
  <w:style w:type="character" w:styleId="WWCharLFO7LVL1">
    <w:name w:val="WW_CharLFO7LVL1"/>
    <w:qFormat/>
    <w:rPr>
      <w:rFonts w:ascii="Times New Roman" w:hAnsi="Times New Roman" w:cs="Times New Roman"/>
    </w:rPr>
  </w:style>
  <w:style w:type="character" w:styleId="WWCharLFO8LVL1">
    <w:name w:val="WW_CharLFO8LVL1"/>
    <w:qFormat/>
    <w:rPr>
      <w:rFonts w:ascii="Times New Roman" w:hAnsi="Times New Roman"/>
    </w:rPr>
  </w:style>
  <w:style w:type="character" w:styleId="WWCharLFO12LVL1">
    <w:name w:val="WW_CharLFO12LVL1"/>
    <w:qFormat/>
    <w:rPr>
      <w:lang w:val="en-US"/>
    </w:rPr>
  </w:style>
  <w:style w:type="character" w:styleId="WWCharLFO13LVL1">
    <w:name w:val="WW_CharLFO13LVL1"/>
    <w:qFormat/>
    <w:rPr>
      <w:lang w:val="en-US"/>
    </w:rPr>
  </w:style>
  <w:style w:type="paragraph" w:styleId="Style18">
    <w:name w:val="標題"/>
    <w:basedOn w:val="Normal"/>
    <w:next w:val="Style19"/>
    <w:qFormat/>
    <w:pPr>
      <w:keepNext w:val="true"/>
      <w:spacing w:before="240" w:after="120"/>
    </w:pPr>
    <w:rPr>
      <w:rFonts w:ascii="Liberation Sans" w:hAnsi="Liberation Sans" w:eastAsia="微軟正黑體" w:cs="Tahoma"/>
      <w:sz w:val="28"/>
      <w:szCs w:val="28"/>
    </w:rPr>
  </w:style>
  <w:style w:type="paragraph" w:styleId="Style19">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shd w:fill="auto" w:val="clear"/>
      <w:vertAlign w:val="baseline"/>
      <w:em w:val="none"/>
      <w:lang w:val="en-US" w:eastAsia="zh-TW" w:bidi="ar-SA"/>
    </w:rPr>
  </w:style>
  <w:style w:type="paragraph" w:styleId="Style20">
    <w:name w:val="清單段落"/>
    <w:basedOn w:val="Style19"/>
    <w:qFormat/>
    <w:pPr>
      <w:tabs>
        <w:tab w:val="clear" w:pos="120"/>
      </w:tabs>
      <w:suppressAutoHyphens w:val="true"/>
      <w:ind w:left="480" w:right="0" w:hanging="0"/>
    </w:pPr>
    <w:rPr/>
  </w:style>
  <w:style w:type="paragraph" w:styleId="Style21">
    <w:name w:val="頁首與頁尾"/>
    <w:basedOn w:val="Normal"/>
    <w:qFormat/>
    <w:pPr>
      <w:suppressLineNumbers/>
      <w:tabs>
        <w:tab w:val="clear" w:pos="120"/>
        <w:tab w:val="center" w:pos="4819" w:leader="none"/>
        <w:tab w:val="right" w:pos="9638" w:leader="none"/>
      </w:tabs>
    </w:pPr>
    <w:rPr/>
  </w:style>
  <w:style w:type="paragraph" w:styleId="Style22">
    <w:name w:val="Header"/>
    <w:basedOn w:val="Style19"/>
    <w:pPr>
      <w:tabs>
        <w:tab w:val="clear" w:pos="120"/>
        <w:tab w:val="center" w:pos="4153" w:leader="none"/>
        <w:tab w:val="right" w:pos="8306" w:leader="none"/>
      </w:tabs>
      <w:suppressAutoHyphens w:val="true"/>
      <w:snapToGrid w:val="false"/>
    </w:pPr>
    <w:rPr>
      <w:sz w:val="20"/>
      <w:szCs w:val="20"/>
    </w:rPr>
  </w:style>
  <w:style w:type="paragraph" w:styleId="Style23">
    <w:name w:val="Footer"/>
    <w:basedOn w:val="Style19"/>
    <w:pPr>
      <w:tabs>
        <w:tab w:val="clear" w:pos="120"/>
        <w:tab w:val="center" w:pos="4153" w:leader="none"/>
        <w:tab w:val="right" w:pos="8306" w:leader="none"/>
      </w:tabs>
      <w:suppressAutoHyphens w:val="true"/>
      <w:snapToGrid w:val="false"/>
    </w:pPr>
    <w:rPr>
      <w:sz w:val="20"/>
      <w:szCs w:val="20"/>
    </w:rPr>
  </w:style>
  <w:style w:type="paragraph" w:styleId="Style24">
    <w:name w:val="法規-條"/>
    <w:basedOn w:val="Style19"/>
    <w:qFormat/>
    <w:pPr>
      <w:tabs>
        <w:tab w:val="clear" w:pos="120"/>
      </w:tabs>
      <w:suppressAutoHyphens w:val="true"/>
      <w:spacing w:lineRule="exact" w:line="340"/>
      <w:ind w:left="400" w:right="0" w:hanging="400"/>
      <w:textAlignment w:val="baseline"/>
    </w:pPr>
    <w:rPr>
      <w:kern w:val="0"/>
      <w:szCs w:val="20"/>
    </w:rPr>
  </w:style>
  <w:style w:type="paragraph" w:styleId="Style25">
    <w:name w:val="表格文字"/>
    <w:basedOn w:val="Style19"/>
    <w:qFormat/>
    <w:pPr>
      <w:suppressAutoHyphens w:val="true"/>
      <w:spacing w:lineRule="atLeast" w:line="240"/>
      <w:jc w:val="both"/>
      <w:textAlignment w:val="baseline"/>
    </w:pPr>
    <w:rPr>
      <w:kern w:val="0"/>
      <w:lang w:bidi="bo-BT"/>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false"/>
      <w:bidi w:val="0"/>
      <w:snapToGrid w:val="true"/>
      <w:spacing w:lineRule="auto" w:line="240"/>
      <w:jc w:val="left"/>
    </w:pPr>
    <w:rPr>
      <w:rFonts w:ascii="標楷體" w:hAnsi="標楷體" w:cs="標楷體" w:eastAsia="新細明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 w:type="paragraph" w:styleId="Style26">
    <w:name w:val="註解方塊文字"/>
    <w:basedOn w:val="Style19"/>
    <w:qFormat/>
    <w:pPr>
      <w:suppressAutoHyphens w:val="true"/>
    </w:pPr>
    <w:rPr>
      <w:rFonts w:ascii="Cambria" w:hAnsi="Cambria" w:eastAsia="新細明體" w:cs="Times New Roman"/>
      <w:sz w:val="18"/>
      <w:szCs w:val="18"/>
    </w:rPr>
  </w:style>
  <w:style w:type="paragraph" w:styleId="Style27">
    <w:name w:val="修訂"/>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paragraph" w:styleId="Style28">
    <w:name w:val="本文"/>
    <w:basedOn w:val="Style19"/>
    <w:qFormat/>
    <w:pPr>
      <w:suppressAutoHyphens w:val="true"/>
      <w:spacing w:lineRule="auto" w:line="240"/>
    </w:pPr>
    <w:rPr>
      <w:rFonts w:eastAsia="標楷體"/>
      <w:b/>
      <w:bCs/>
      <w:spacing w:val="2"/>
      <w:kern w:val="0"/>
      <w:sz w:val="40"/>
    </w:rPr>
  </w:style>
  <w:style w:type="paragraph" w:styleId="Style29">
    <w:name w:val="法條的條"/>
    <w:basedOn w:val="Style19"/>
    <w:qFormat/>
    <w:pPr>
      <w:widowControl w:val="false"/>
      <w:tabs>
        <w:tab w:val="clear" w:pos="120"/>
      </w:tabs>
      <w:suppressAutoHyphens w:val="true"/>
      <w:autoSpaceDE w:val="false"/>
      <w:snapToGrid w:val="false"/>
      <w:spacing w:lineRule="auto" w:line="288"/>
      <w:ind w:left="1610" w:right="6" w:hanging="1610"/>
      <w:jc w:val="both"/>
    </w:pPr>
    <w:rPr>
      <w:rFonts w:ascii="標楷體" w:hAnsi="標楷體" w:eastAsia="標楷體"/>
      <w:kern w:val="0"/>
      <w:sz w:val="32"/>
      <w:szCs w:val="20"/>
    </w:rPr>
  </w:style>
  <w:style w:type="paragraph" w:styleId="Style30">
    <w:name w:val="法條的項"/>
    <w:basedOn w:val="Style29"/>
    <w:qFormat/>
    <w:pPr>
      <w:suppressAutoHyphens w:val="true"/>
      <w:ind w:left="0" w:right="0" w:firstLine="630"/>
    </w:pPr>
    <w:rPr/>
  </w:style>
  <w:style w:type="paragraph" w:styleId="1">
    <w:name w:val="1."/>
    <w:basedOn w:val="Style19"/>
    <w:qFormat/>
    <w:pPr>
      <w:widowControl w:val="false"/>
      <w:tabs>
        <w:tab w:val="clear" w:pos="120"/>
      </w:tabs>
      <w:suppressAutoHyphens w:val="true"/>
      <w:snapToGrid w:val="false"/>
      <w:spacing w:lineRule="atLeast" w:line="240"/>
      <w:ind w:left="512" w:right="0" w:hanging="168"/>
      <w:jc w:val="both"/>
    </w:pPr>
    <w:rPr>
      <w:rFonts w:eastAsia="標楷體"/>
    </w:rPr>
  </w:style>
  <w:style w:type="paragraph" w:styleId="HTML1">
    <w:name w:val="HTML 預設格式"/>
    <w:basedOn w:val="Style19"/>
    <w:qFormat/>
    <w:pPr>
      <w:tabs>
        <w:tab w:val="clear" w:pos="1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lineRule="auto" w:line="240"/>
    </w:pPr>
    <w:rPr>
      <w:rFonts w:ascii="細明體" w:hAnsi="細明體" w:eastAsia="細明體" w:cs="細明體"/>
      <w:color w:val="000000"/>
      <w:kern w:val="0"/>
      <w:lang w:bidi="hi-IN"/>
    </w:rPr>
  </w:style>
  <w:style w:type="paragraph" w:styleId="Style31">
    <w:name w:val="法條的款"/>
    <w:basedOn w:val="Style29"/>
    <w:qFormat/>
    <w:pPr>
      <w:suppressAutoHyphens w:val="true"/>
      <w:ind w:left="2912" w:right="0" w:hanging="644"/>
    </w:pPr>
    <w:rPr/>
  </w:style>
  <w:style w:type="paragraph" w:styleId="Style32">
    <w:name w:val="法條的目"/>
    <w:basedOn w:val="Style29"/>
    <w:qFormat/>
    <w:pPr>
      <w:suppressAutoHyphens w:val="true"/>
      <w:ind w:left="3556" w:right="0" w:hanging="64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LibreOffice/7.3.4.2$Windows_X86_64 LibreOffice_project/728fec16bd5f605073805c3c9e7c4212a0120dc5</Application>
  <AppVersion>15.0000</AppVersion>
  <Pages>3</Pages>
  <Words>1409</Words>
  <Characters>1409</Characters>
  <CharactersWithSpaces>1410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2022-11-21T05:31:00Z</dcterms:created>
  <dc:creator>許明華</dc:creator>
  <dc:description/>
  <dc:language>zh-TW</dc:language>
  <cp:lastModifiedBy/>
  <cp:lastPrinted>2022-06-16T09:23:00Z</cp:lastPrinted>
  <dcterms:modified xsi:type="dcterms:W3CDTF">2022-11-28T13:57:22Z</dcterms:modified>
  <cp:revision>8</cp:revision>
  <dc:subject/>
  <dc:title/>
</cp:coreProperties>
</file>