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135" w:rsidRPr="006A4135" w:rsidRDefault="006A4135" w:rsidP="006A4135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kern w:val="0"/>
          <w:sz w:val="28"/>
          <w:szCs w:val="28"/>
        </w:rPr>
      </w:pP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水污染違規案件涉及水污染防治法第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36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條及刑法第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190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條之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1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第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2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項及第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6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項</w:t>
      </w:r>
      <w:r w:rsidR="00DA7CB7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規定</w:t>
      </w:r>
      <w:r>
        <w:rPr>
          <w:rFonts w:ascii="微軟正黑體" w:eastAsia="微軟正黑體" w:hAnsi="微軟正黑體" w:cs="DFKaiShu-SB-Estd-BF,Bold" w:hint="eastAsia"/>
          <w:kern w:val="0"/>
          <w:sz w:val="28"/>
          <w:szCs w:val="28"/>
        </w:rPr>
        <w:t>，</w:t>
      </w:r>
      <w:r w:rsidRPr="00DA7CB7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符合下列指引事項</w:t>
      </w:r>
      <w:r w:rsidR="008863D7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之</w:t>
      </w:r>
      <w:proofErr w:type="gramStart"/>
      <w:r w:rsidR="008863D7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一</w:t>
      </w:r>
      <w:proofErr w:type="gramEnd"/>
      <w:r w:rsidRPr="00DA7CB7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者再依個案情事，透過</w:t>
      </w:r>
      <w:proofErr w:type="gramStart"/>
      <w:r w:rsidRPr="00DA7CB7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檢警環林平台</w:t>
      </w:r>
      <w:proofErr w:type="gramEnd"/>
      <w:r w:rsidRPr="00DA7CB7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運作機制辦理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。指引說明如下：</w:t>
      </w:r>
      <w:bookmarkStart w:id="0" w:name="_GoBack"/>
      <w:bookmarkEnd w:id="0"/>
    </w:p>
    <w:p w:rsidR="006A4135" w:rsidRPr="006A4135" w:rsidRDefault="006A4135" w:rsidP="006A413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DFKaiShu-SB-Estd-BF"/>
          <w:kern w:val="0"/>
          <w:sz w:val="28"/>
          <w:szCs w:val="28"/>
        </w:rPr>
      </w:pPr>
      <w:r w:rsidRPr="006A4135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以放流水含有害健康物質濃度為各該管制標準限值</w:t>
      </w:r>
      <w:r w:rsidRPr="006A4135">
        <w:rPr>
          <w:rFonts w:ascii="微軟正黑體" w:eastAsia="微軟正黑體" w:hAnsi="微軟正黑體" w:cs="TimesNewRomanPSMT"/>
          <w:b/>
          <w:bCs/>
          <w:kern w:val="0"/>
          <w:sz w:val="28"/>
          <w:szCs w:val="28"/>
        </w:rPr>
        <w:t>5</w:t>
      </w:r>
      <w:r w:rsidRPr="006A4135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倍以上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：按行政院環境保護署訂定之「違反水污染防治法罰鍰額度裁罰準則」第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6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條第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2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項規定及附表八、違反本法各條款對應之處分基數表之備註一、註明，嚴重違規包括：「排放廢（污）水中污染物濃度為各該管制標準限值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5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倍以上」，另依刑法第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190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條之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1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第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8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項規定：「犯第一項、第五項或第一項未遂犯之罪，其情節顯著輕微者，不罰。」，故以超過放流水標準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5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倍做為判定情節是否屬輕微或嚴重之原則移送，亦符合比例原則。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有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關放流水超標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5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倍「以上」，按刑法第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10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條第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1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項規定：「稱以上、以下、以內者，</w:t>
      </w:r>
      <w:proofErr w:type="gramStart"/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俱連本數</w:t>
      </w:r>
      <w:proofErr w:type="gramEnd"/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或本刑計算。」，</w:t>
      </w:r>
      <w:proofErr w:type="gramStart"/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爰</w:t>
      </w:r>
      <w:proofErr w:type="gramEnd"/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此，放流水超標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5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倍以上包含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5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倍。</w:t>
      </w:r>
    </w:p>
    <w:p w:rsidR="006A4135" w:rsidRPr="006A4135" w:rsidRDefault="006A4135" w:rsidP="006A413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DFKaiShu-SB-Estd-BF"/>
          <w:kern w:val="0"/>
          <w:sz w:val="28"/>
          <w:szCs w:val="28"/>
        </w:rPr>
      </w:pPr>
      <w:proofErr w:type="gramStart"/>
      <w:r w:rsidRPr="006A4135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一</w:t>
      </w:r>
      <w:proofErr w:type="gramEnd"/>
      <w:r w:rsidRPr="006A4135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年內達違規三次</w:t>
      </w:r>
      <w:r w:rsidRPr="006A4135">
        <w:rPr>
          <w:rFonts w:ascii="微軟正黑體" w:eastAsia="微軟正黑體" w:hAnsi="微軟正黑體" w:cs="TimesNewRomanPSMT"/>
          <w:b/>
          <w:bCs/>
          <w:kern w:val="0"/>
          <w:sz w:val="28"/>
          <w:szCs w:val="28"/>
        </w:rPr>
        <w:t>(</w:t>
      </w:r>
      <w:r w:rsidRPr="006A4135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以上</w:t>
      </w:r>
      <w:r w:rsidRPr="006A4135">
        <w:rPr>
          <w:rFonts w:ascii="微軟正黑體" w:eastAsia="微軟正黑體" w:hAnsi="微軟正黑體" w:cs="TimesNewRomanPSMT"/>
          <w:b/>
          <w:bCs/>
          <w:kern w:val="0"/>
          <w:sz w:val="28"/>
          <w:szCs w:val="28"/>
        </w:rPr>
        <w:t>)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：按水污染防治法第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73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條第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1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項第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3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款規定，</w:t>
      </w:r>
      <w:proofErr w:type="gramStart"/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一</w:t>
      </w:r>
      <w:proofErr w:type="gramEnd"/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年內經二次限期改善，仍繼續違反本法規定視為情節重大；故以一年內經違規二次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(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非屬複查後同一案由不符合規定者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)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限期改善後，再次違規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(</w:t>
      </w:r>
      <w:proofErr w:type="gramStart"/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一</w:t>
      </w:r>
      <w:proofErr w:type="gramEnd"/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年內第三次違規且屬有害健康物質未符合放流水標準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)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為原則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(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無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5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倍限制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)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。</w:t>
      </w:r>
    </w:p>
    <w:p w:rsidR="006A4135" w:rsidRPr="006A4135" w:rsidRDefault="006A4135" w:rsidP="006A413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6A4135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非屬前</w:t>
      </w:r>
      <w:r w:rsidRPr="006A4135">
        <w:rPr>
          <w:rFonts w:ascii="微軟正黑體" w:eastAsia="微軟正黑體" w:hAnsi="微軟正黑體" w:cs="TimesNewRomanPSMT"/>
          <w:b/>
          <w:bCs/>
          <w:kern w:val="0"/>
          <w:sz w:val="28"/>
          <w:szCs w:val="28"/>
        </w:rPr>
        <w:t>(</w:t>
      </w:r>
      <w:proofErr w:type="gramStart"/>
      <w:r w:rsidRPr="006A4135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一</w:t>
      </w:r>
      <w:proofErr w:type="gramEnd"/>
      <w:r w:rsidRPr="006A4135">
        <w:rPr>
          <w:rFonts w:ascii="微軟正黑體" w:eastAsia="微軟正黑體" w:hAnsi="微軟正黑體" w:cs="TimesNewRomanPSMT"/>
          <w:b/>
          <w:bCs/>
          <w:kern w:val="0"/>
          <w:sz w:val="28"/>
          <w:szCs w:val="28"/>
        </w:rPr>
        <w:t>)</w:t>
      </w:r>
      <w:r w:rsidRPr="006A4135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、</w:t>
      </w:r>
      <w:r w:rsidRPr="006A4135">
        <w:rPr>
          <w:rFonts w:ascii="微軟正黑體" w:eastAsia="微軟正黑體" w:hAnsi="微軟正黑體" w:cs="TimesNewRomanPSMT"/>
          <w:b/>
          <w:bCs/>
          <w:kern w:val="0"/>
          <w:sz w:val="28"/>
          <w:szCs w:val="28"/>
        </w:rPr>
        <w:t>(</w:t>
      </w:r>
      <w:r w:rsidRPr="006A4135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二</w:t>
      </w:r>
      <w:r w:rsidRPr="006A4135">
        <w:rPr>
          <w:rFonts w:ascii="微軟正黑體" w:eastAsia="微軟正黑體" w:hAnsi="微軟正黑體" w:cs="TimesNewRomanPSMT"/>
          <w:b/>
          <w:bCs/>
          <w:kern w:val="0"/>
          <w:sz w:val="28"/>
          <w:szCs w:val="28"/>
        </w:rPr>
        <w:t>)</w:t>
      </w:r>
      <w:r w:rsidRPr="006A4135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t>項之民眾陳情案件、民眾重大關切案件或依實際</w:t>
      </w:r>
      <w:r w:rsidRPr="006A4135">
        <w:rPr>
          <w:rFonts w:ascii="微軟正黑體" w:eastAsia="微軟正黑體" w:hAnsi="微軟正黑體" w:cs="DFKaiShu-SB-Estd-BF" w:hint="eastAsia"/>
          <w:b/>
          <w:bCs/>
          <w:kern w:val="0"/>
          <w:sz w:val="28"/>
          <w:szCs w:val="28"/>
        </w:rPr>
        <w:lastRenderedPageBreak/>
        <w:t>狀況特殊個案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，依「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111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年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2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月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22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日辦理環保犯罪偵查實務及法令經驗交流座談會議紀錄」六、業務交流及綜合座談</w:t>
      </w:r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(</w:t>
      </w:r>
      <w:proofErr w:type="gramStart"/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一</w:t>
      </w:r>
      <w:proofErr w:type="gramEnd"/>
      <w:r w:rsidRPr="006A4135">
        <w:rPr>
          <w:rFonts w:ascii="微軟正黑體" w:eastAsia="微軟正黑體" w:hAnsi="微軟正黑體" w:cs="TimesNewRomanPSMT"/>
          <w:kern w:val="0"/>
          <w:sz w:val="28"/>
          <w:szCs w:val="28"/>
        </w:rPr>
        <w:t>)</w:t>
      </w:r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提案一、結論，每案案情不同，可透過</w:t>
      </w:r>
      <w:proofErr w:type="gramStart"/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檢警環林平台</w:t>
      </w:r>
      <w:proofErr w:type="gramEnd"/>
      <w:r w:rsidRPr="006A413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運作機制，先與地檢署針對個案進行討論、移送事宜。</w:t>
      </w:r>
    </w:p>
    <w:sectPr w:rsidR="006A4135" w:rsidRPr="006A41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,Bold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11ED8"/>
    <w:multiLevelType w:val="hybridMultilevel"/>
    <w:tmpl w:val="7D70C2AA"/>
    <w:lvl w:ilvl="0" w:tplc="A38A8EF2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FE5DCF"/>
    <w:multiLevelType w:val="hybridMultilevel"/>
    <w:tmpl w:val="42AAF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35"/>
    <w:rsid w:val="000E5137"/>
    <w:rsid w:val="004C774E"/>
    <w:rsid w:val="006A4135"/>
    <w:rsid w:val="008863D7"/>
    <w:rsid w:val="00D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6591"/>
  <w15:chartTrackingRefBased/>
  <w15:docId w15:val="{74D262BA-054A-46D0-9800-7B441516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林師檀</dc:creator>
  <cp:keywords/>
  <dc:description/>
  <cp:lastModifiedBy>林師檀</cp:lastModifiedBy>
  <cp:revision>3</cp:revision>
  <dcterms:created xsi:type="dcterms:W3CDTF">2022-07-12T12:27:00Z</dcterms:created>
  <dcterms:modified xsi:type="dcterms:W3CDTF">2022-08-04T07:26:00Z</dcterms:modified>
</cp:coreProperties>
</file>