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BCE55" w14:textId="77777777" w:rsidR="00D4550E" w:rsidRDefault="00000000">
      <w:pPr>
        <w:pStyle w:val="a1"/>
        <w:widowControl/>
        <w:snapToGrid w:val="0"/>
        <w:spacing w:line="560" w:lineRule="exact"/>
        <w:jc w:val="center"/>
        <w:textAlignment w:val="auto"/>
      </w:pPr>
      <w:r>
        <w:rPr>
          <w:color w:val="000000"/>
          <w:sz w:val="40"/>
          <w:szCs w:val="40"/>
        </w:rPr>
        <w:t>公民營廢棄物清除處理機構許可管理辦法</w:t>
      </w:r>
      <w:r>
        <w:rPr>
          <w:sz w:val="40"/>
          <w:szCs w:val="40"/>
        </w:rPr>
        <w:t>第十六條之二、第十六條之三、第十六條之四</w:t>
      </w:r>
      <w:r>
        <w:rPr>
          <w:color w:val="000000"/>
          <w:sz w:val="40"/>
        </w:rPr>
        <w:t>修正</w:t>
      </w:r>
      <w:r>
        <w:rPr>
          <w:rFonts w:ascii="Calibri" w:hAnsi="Calibri"/>
          <w:color w:val="000000"/>
          <w:spacing w:val="0"/>
          <w:sz w:val="40"/>
          <w:szCs w:val="22"/>
        </w:rPr>
        <w:t>條文</w:t>
      </w:r>
    </w:p>
    <w:p w14:paraId="3D0782BF" w14:textId="77777777" w:rsidR="00D4550E" w:rsidRDefault="00000000">
      <w:pPr>
        <w:pStyle w:val="a7"/>
        <w:tabs>
          <w:tab w:val="left" w:pos="3452"/>
          <w:tab w:val="left" w:pos="3572"/>
          <w:tab w:val="left" w:pos="4142"/>
        </w:tabs>
        <w:overflowPunct w:val="0"/>
        <w:spacing w:after="0" w:line="460" w:lineRule="exact"/>
        <w:ind w:left="1778" w:hanging="1702"/>
        <w:rPr>
          <w:szCs w:val="24"/>
        </w:rPr>
      </w:pPr>
      <w:r>
        <w:rPr>
          <w:szCs w:val="24"/>
        </w:rPr>
        <w:t>第十六條之二</w:t>
      </w:r>
      <w:r>
        <w:rPr>
          <w:szCs w:val="24"/>
        </w:rPr>
        <w:t xml:space="preserve">    </w:t>
      </w:r>
      <w:r>
        <w:rPr>
          <w:szCs w:val="24"/>
        </w:rPr>
        <w:t>核發機關受理清除許可證、同意設置文件、試運轉計畫、處理許可證之申請、提報、變更或展延案件時，其審查範圍不得及於申請、提報、變更或展延內容以外之事項，並不得以任何形式之處分增加法規所未明定之義務。</w:t>
      </w:r>
    </w:p>
    <w:p w14:paraId="642FBA7E" w14:textId="77777777" w:rsidR="00D4550E" w:rsidRDefault="00000000">
      <w:pPr>
        <w:pStyle w:val="a7"/>
        <w:tabs>
          <w:tab w:val="left" w:pos="3452"/>
          <w:tab w:val="left" w:pos="3572"/>
          <w:tab w:val="left" w:pos="4142"/>
        </w:tabs>
        <w:overflowPunct w:val="0"/>
        <w:spacing w:after="0" w:line="460" w:lineRule="exact"/>
        <w:ind w:left="1790" w:firstLine="560"/>
        <w:rPr>
          <w:szCs w:val="24"/>
        </w:rPr>
      </w:pPr>
      <w:r>
        <w:rPr>
          <w:szCs w:val="24"/>
        </w:rPr>
        <w:t>核發機關發現核發之許可證（文件）、同意設置文件或核准之試運轉計畫有誤寫、誤算或其他類此未符合本法及相關規定之顯然錯誤者，得隨時更正之，並通知受更正者。</w:t>
      </w:r>
    </w:p>
    <w:p w14:paraId="16125D33" w14:textId="77777777" w:rsidR="00D4550E" w:rsidRDefault="00000000">
      <w:pPr>
        <w:pStyle w:val="a7"/>
        <w:tabs>
          <w:tab w:val="left" w:pos="3452"/>
          <w:tab w:val="left" w:pos="3572"/>
          <w:tab w:val="left" w:pos="4142"/>
        </w:tabs>
        <w:overflowPunct w:val="0"/>
        <w:spacing w:after="0" w:line="460" w:lineRule="exact"/>
        <w:ind w:left="1790" w:firstLine="590"/>
        <w:rPr>
          <w:szCs w:val="24"/>
        </w:rPr>
      </w:pPr>
      <w:r>
        <w:rPr>
          <w:szCs w:val="24"/>
        </w:rPr>
        <w:t>核發機關受理第一項案件，應進行文件完整性之程序審查，及內容合理性之實體審查，經認定應補正資料時，審查意見應分別以一次性提供為原則，內容應符合本法所定法規，並與申請、提報、變更或展延內容事項有關。除因申請者補正之資料文件而新增之審查意見外，後續通知限期補正時，不宜有前次通知限期補正未列明之審查意見。</w:t>
      </w:r>
    </w:p>
    <w:p w14:paraId="598E36CE" w14:textId="77777777" w:rsidR="00D4550E" w:rsidRDefault="00000000">
      <w:pPr>
        <w:pStyle w:val="a7"/>
        <w:tabs>
          <w:tab w:val="left" w:pos="1809"/>
          <w:tab w:val="left" w:pos="2127"/>
          <w:tab w:val="left" w:pos="2328"/>
          <w:tab w:val="left" w:pos="3452"/>
          <w:tab w:val="left" w:pos="3572"/>
          <w:tab w:val="left" w:pos="4142"/>
        </w:tabs>
        <w:overflowPunct w:val="0"/>
        <w:spacing w:after="0" w:line="460" w:lineRule="exact"/>
        <w:ind w:left="1777" w:hanging="1789"/>
      </w:pPr>
      <w:r>
        <w:rPr>
          <w:szCs w:val="24"/>
        </w:rPr>
        <w:t>第十六條之三</w:t>
      </w:r>
      <w:r>
        <w:rPr>
          <w:szCs w:val="24"/>
        </w:rPr>
        <w:t xml:space="preserve">    </w:t>
      </w:r>
      <w:r>
        <w:rPr>
          <w:szCs w:val="24"/>
        </w:rPr>
        <w:t>申請核發、變更或展延處理許可證及設貯存場或轉運站之清除許可證前，申請者須先繪製全廠（場）空氣、水、廢棄物、毒性及關注化學物質污染流向示意圖，檢視污染在不同介質間之流向及在各類環保許可證（文件）間之關連。</w:t>
      </w:r>
    </w:p>
    <w:p w14:paraId="3FD96F67" w14:textId="77777777" w:rsidR="00D4550E" w:rsidRDefault="00000000">
      <w:pPr>
        <w:pStyle w:val="a7"/>
        <w:tabs>
          <w:tab w:val="left" w:pos="2127"/>
          <w:tab w:val="left" w:pos="3452"/>
          <w:tab w:val="left" w:pos="3572"/>
          <w:tab w:val="left" w:pos="4142"/>
        </w:tabs>
        <w:overflowPunct w:val="0"/>
        <w:spacing w:after="0" w:line="460" w:lineRule="exact"/>
        <w:ind w:left="1776" w:firstLine="560"/>
      </w:pPr>
      <w:r>
        <w:t>前項申請如有涉及其他類環保許可證（文件）之申請、變更、異動或展延者，須同時依各該環保法規規定提出其他類環保許可證（文件）之申請、變更、異動或展延。但可提出未實質涉及其他類環保許可證（文件）之申請、變更、異動或展延者，不在此限。</w:t>
      </w:r>
    </w:p>
    <w:p w14:paraId="139391D8" w14:textId="77777777" w:rsidR="00D4550E" w:rsidRDefault="00000000">
      <w:pPr>
        <w:pStyle w:val="a7"/>
        <w:tabs>
          <w:tab w:val="left" w:pos="2127"/>
          <w:tab w:val="left" w:pos="3452"/>
          <w:tab w:val="left" w:pos="3572"/>
          <w:tab w:val="left" w:pos="4142"/>
        </w:tabs>
        <w:overflowPunct w:val="0"/>
        <w:spacing w:after="0" w:line="460" w:lineRule="exact"/>
        <w:ind w:left="1776" w:firstLine="560"/>
      </w:pPr>
      <w:r>
        <w:t>經核發機關確認有涉及其他類環保許可證（文件）之</w:t>
      </w:r>
      <w:r>
        <w:lastRenderedPageBreak/>
        <w:t>申請、變更、異動或展延而未同時提出者，核發機關得續依本辦法規定審查，並通知申請者應提出其他類環保許可證（文件）之申請、變更、異動或展延。</w:t>
      </w:r>
    </w:p>
    <w:p w14:paraId="1F4ED3A1" w14:textId="77777777" w:rsidR="00D4550E" w:rsidRDefault="00000000">
      <w:pPr>
        <w:pStyle w:val="Textbody"/>
        <w:widowControl w:val="0"/>
        <w:tabs>
          <w:tab w:val="left" w:pos="2338"/>
          <w:tab w:val="left" w:pos="3797"/>
        </w:tabs>
        <w:suppressAutoHyphens/>
        <w:overflowPunct w:val="0"/>
        <w:autoSpaceDE w:val="0"/>
        <w:snapToGrid w:val="0"/>
        <w:spacing w:line="460" w:lineRule="exact"/>
        <w:ind w:left="1758" w:hanging="1758"/>
        <w:jc w:val="both"/>
        <w:textAlignment w:val="auto"/>
      </w:pP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第十六條之四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   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核發機關受理清除許可證、處理許可證申請核發、換發或補發許可證，經審查符合規定者，應於審查核准後十四日內完成許可證製作，並通知申請者繳納證書費及領取許可證。</w:t>
      </w:r>
    </w:p>
    <w:sectPr w:rsidR="00D4550E">
      <w:pgSz w:w="11906" w:h="16838"/>
      <w:pgMar w:top="1418" w:right="141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58B9B" w14:textId="77777777" w:rsidR="009D1E17" w:rsidRDefault="009D1E17">
      <w:r>
        <w:separator/>
      </w:r>
    </w:p>
  </w:endnote>
  <w:endnote w:type="continuationSeparator" w:id="0">
    <w:p w14:paraId="4D29C839" w14:textId="77777777" w:rsidR="009D1E17" w:rsidRDefault="009D1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楷書"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345C6" w14:textId="77777777" w:rsidR="009D1E17" w:rsidRDefault="009D1E17">
      <w:r>
        <w:rPr>
          <w:color w:val="000000"/>
        </w:rPr>
        <w:separator/>
      </w:r>
    </w:p>
  </w:footnote>
  <w:footnote w:type="continuationSeparator" w:id="0">
    <w:p w14:paraId="5D7058BF" w14:textId="77777777" w:rsidR="009D1E17" w:rsidRDefault="009D1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562637"/>
    <w:multiLevelType w:val="multilevel"/>
    <w:tmpl w:val="6CA69DE2"/>
    <w:styleLink w:val="LFO21"/>
    <w:lvl w:ilvl="0">
      <w:start w:val="1"/>
      <w:numFmt w:val="decimal"/>
      <w:pStyle w:val="1"/>
      <w:lvlText w:val="%1、"/>
      <w:lvlJc w:val="left"/>
      <w:pPr>
        <w:ind w:left="720" w:hanging="720"/>
      </w:p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61B80CC1"/>
    <w:multiLevelType w:val="multilevel"/>
    <w:tmpl w:val="D0889730"/>
    <w:styleLink w:val="LFO3"/>
    <w:lvl w:ilvl="0">
      <w:start w:val="1"/>
      <w:numFmt w:val="decimal"/>
      <w:pStyle w:val="a"/>
      <w:lvlText w:val="%1、"/>
      <w:lvlJc w:val="left"/>
      <w:pPr>
        <w:ind w:left="440" w:hanging="440"/>
      </w:pPr>
      <w:rPr>
        <w:rFonts w:ascii="標楷體" w:hAnsi="標楷體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900285233">
    <w:abstractNumId w:val="0"/>
  </w:num>
  <w:num w:numId="2" w16cid:durableId="1572083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4550E"/>
    <w:rsid w:val="00113AF5"/>
    <w:rsid w:val="005629A3"/>
    <w:rsid w:val="009D1E17"/>
    <w:rsid w:val="00D4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35251"/>
  <w15:docId w15:val="{11F28EBD-1E69-4299-B09A-DD7572AC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paragraph" w:styleId="2">
    <w:name w:val="heading 2"/>
    <w:basedOn w:val="a1"/>
    <w:next w:val="a1"/>
    <w:uiPriority w:val="9"/>
    <w:semiHidden/>
    <w:unhideWhenUsed/>
    <w:qFormat/>
    <w:pPr>
      <w:tabs>
        <w:tab w:val="left" w:pos="0"/>
      </w:tabs>
      <w:autoSpaceDE w:val="0"/>
      <w:spacing w:line="240" w:lineRule="auto"/>
      <w:ind w:left="143"/>
      <w:jc w:val="left"/>
      <w:textAlignment w:val="auto"/>
      <w:outlineLvl w:val="1"/>
    </w:pPr>
    <w:rPr>
      <w:rFonts w:ascii="標楷體" w:hAnsi="標楷體" w:cs="標楷體"/>
      <w:b/>
      <w:bCs/>
      <w:spacing w:val="0"/>
      <w:sz w:val="40"/>
      <w:szCs w:val="4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Textbody"/>
    <w:next w:val="a1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customStyle="1" w:styleId="Textbody">
    <w:name w:val="Text body"/>
  </w:style>
  <w:style w:type="paragraph" w:styleId="a1">
    <w:name w:val="Body Text"/>
    <w:pPr>
      <w:widowControl w:val="0"/>
      <w:suppressAutoHyphens/>
      <w:spacing w:line="360" w:lineRule="atLeast"/>
      <w:jc w:val="both"/>
    </w:pPr>
    <w:rPr>
      <w:rFonts w:ascii="Times New Roman" w:eastAsia="標楷體" w:hAnsi="Times New Roman"/>
      <w:spacing w:val="20"/>
      <w:kern w:val="0"/>
      <w:sz w:val="28"/>
      <w:szCs w:val="20"/>
    </w:rPr>
  </w:style>
  <w:style w:type="paragraph" w:customStyle="1" w:styleId="HeaderandFooter">
    <w:name w:val="Header and Footer"/>
    <w:basedOn w:val="Textbody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a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1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7">
    <w:name w:val="法條的條"/>
    <w:basedOn w:val="a1"/>
    <w:pPr>
      <w:autoSpaceDE w:val="0"/>
      <w:snapToGrid w:val="0"/>
      <w:spacing w:after="120" w:line="440" w:lineRule="exact"/>
      <w:ind w:left="2013" w:hanging="2013"/>
      <w:textAlignment w:val="auto"/>
    </w:pPr>
    <w:rPr>
      <w:color w:val="000000"/>
      <w:spacing w:val="0"/>
      <w:szCs w:val="28"/>
    </w:rPr>
  </w:style>
  <w:style w:type="paragraph" w:customStyle="1" w:styleId="a8">
    <w:name w:val="法條的款"/>
    <w:basedOn w:val="a1"/>
    <w:pPr>
      <w:spacing w:line="240" w:lineRule="auto"/>
      <w:ind w:left="3264" w:hanging="640"/>
      <w:jc w:val="left"/>
      <w:textAlignment w:val="auto"/>
    </w:pPr>
    <w:rPr>
      <w:color w:val="000000"/>
      <w:szCs w:val="28"/>
    </w:rPr>
  </w:style>
  <w:style w:type="paragraph" w:customStyle="1" w:styleId="a9">
    <w:name w:val="法條的項"/>
    <w:basedOn w:val="a1"/>
    <w:pPr>
      <w:ind w:left="1984" w:firstLine="640"/>
    </w:pPr>
    <w:rPr>
      <w:color w:val="000000"/>
      <w:szCs w:val="28"/>
    </w:rPr>
  </w:style>
  <w:style w:type="paragraph" w:customStyle="1" w:styleId="11A">
    <w:name w:val="1.1(A)內容"/>
    <w:pPr>
      <w:suppressAutoHyphens/>
      <w:spacing w:line="440" w:lineRule="exact"/>
      <w:ind w:left="550" w:right="-352" w:firstLine="301"/>
      <w:jc w:val="both"/>
    </w:pPr>
    <w:rPr>
      <w:rFonts w:ascii="Times New Roman" w:eastAsia="Times New Roman" w:hAnsi="Times New Roman"/>
      <w:spacing w:val="10"/>
      <w:kern w:val="0"/>
      <w:szCs w:val="20"/>
    </w:rPr>
  </w:style>
  <w:style w:type="paragraph" w:customStyle="1" w:styleId="11">
    <w:name w:val="1.1(一)"/>
    <w:pPr>
      <w:suppressAutoHyphens/>
      <w:spacing w:line="440" w:lineRule="exact"/>
      <w:ind w:left="209" w:right="-352" w:hanging="561"/>
      <w:jc w:val="both"/>
    </w:pPr>
    <w:rPr>
      <w:rFonts w:ascii="Times New Roman" w:eastAsia="Times New Roman" w:hAnsi="Times New Roman"/>
      <w:spacing w:val="10"/>
      <w:sz w:val="22"/>
      <w:szCs w:val="20"/>
    </w:rPr>
  </w:style>
  <w:style w:type="paragraph" w:customStyle="1" w:styleId="1">
    <w:name w:val="標號1"/>
    <w:basedOn w:val="a1"/>
    <w:pPr>
      <w:numPr>
        <w:numId w:val="1"/>
      </w:numPr>
      <w:snapToGrid w:val="0"/>
      <w:spacing w:before="120" w:after="120" w:line="360" w:lineRule="auto"/>
      <w:jc w:val="center"/>
      <w:textAlignment w:val="auto"/>
    </w:pPr>
    <w:rPr>
      <w:b/>
      <w:bCs/>
      <w:spacing w:val="0"/>
      <w:kern w:val="3"/>
      <w:sz w:val="32"/>
    </w:rPr>
  </w:style>
  <w:style w:type="paragraph" w:customStyle="1" w:styleId="10">
    <w:name w:val="1.文"/>
    <w:basedOn w:val="a1"/>
    <w:pPr>
      <w:spacing w:line="480" w:lineRule="exact"/>
      <w:ind w:left="100" w:firstLine="200"/>
      <w:textAlignment w:val="auto"/>
    </w:pPr>
    <w:rPr>
      <w:spacing w:val="0"/>
      <w:kern w:val="3"/>
      <w:szCs w:val="28"/>
    </w:rPr>
  </w:style>
  <w:style w:type="paragraph" w:customStyle="1" w:styleId="a">
    <w:name w:val="表格一、"/>
    <w:basedOn w:val="a1"/>
    <w:pPr>
      <w:numPr>
        <w:numId w:val="2"/>
      </w:numPr>
      <w:spacing w:line="240" w:lineRule="auto"/>
      <w:textAlignment w:val="auto"/>
    </w:pPr>
    <w:rPr>
      <w:rFonts w:ascii="標楷體" w:hAnsi="標楷體" w:cs="標楷體"/>
      <w:spacing w:val="0"/>
      <w:sz w:val="24"/>
      <w:szCs w:val="24"/>
    </w:rPr>
  </w:style>
  <w:style w:type="paragraph" w:styleId="aa">
    <w:name w:val="List Paragraph"/>
    <w:basedOn w:val="Textbody"/>
    <w:pPr>
      <w:ind w:left="480"/>
    </w:pPr>
  </w:style>
  <w:style w:type="paragraph" w:styleId="ab">
    <w:name w:val="Balloon Text"/>
    <w:basedOn w:val="a1"/>
    <w:pPr>
      <w:spacing w:line="240" w:lineRule="auto"/>
    </w:pPr>
    <w:rPr>
      <w:rFonts w:ascii="Calibri Light" w:eastAsia="新細明體" w:hAnsi="Calibri Light" w:cs="Calibri Light"/>
      <w:sz w:val="18"/>
      <w:szCs w:val="18"/>
    </w:rPr>
  </w:style>
  <w:style w:type="paragraph" w:customStyle="1" w:styleId="ac">
    <w:name w:val="表格文字"/>
    <w:basedOn w:val="a1"/>
    <w:pPr>
      <w:spacing w:before="60" w:after="60" w:line="240" w:lineRule="auto"/>
      <w:jc w:val="left"/>
    </w:pPr>
    <w:rPr>
      <w:rFonts w:ascii="Arial" w:eastAsia="全真楷書" w:hAnsi="Arial" w:cs="Arial"/>
      <w:spacing w:val="0"/>
      <w:sz w:val="26"/>
    </w:rPr>
  </w:style>
  <w:style w:type="paragraph" w:customStyle="1" w:styleId="22-2">
    <w:name w:val="樣式 凸出:  2 字元 行距:  單行間距 左 2 字元 第一行:  -2 字元"/>
    <w:basedOn w:val="a1"/>
    <w:pPr>
      <w:spacing w:line="240" w:lineRule="auto"/>
      <w:ind w:left="500" w:hanging="300"/>
    </w:pPr>
    <w:rPr>
      <w:rFonts w:cs="新細明體"/>
    </w:rPr>
  </w:style>
  <w:style w:type="paragraph" w:styleId="ad">
    <w:name w:val="Block Text"/>
    <w:basedOn w:val="a1"/>
    <w:pPr>
      <w:spacing w:line="240" w:lineRule="auto"/>
      <w:ind w:left="113" w:right="113" w:firstLine="579"/>
      <w:jc w:val="left"/>
      <w:textAlignment w:val="auto"/>
    </w:pPr>
    <w:rPr>
      <w:spacing w:val="0"/>
      <w:kern w:val="3"/>
    </w:rPr>
  </w:style>
  <w:style w:type="paragraph" w:customStyle="1" w:styleId="DocumentMap">
    <w:name w:val="DocumentMap"/>
    <w:pPr>
      <w:textAlignment w:val="auto"/>
    </w:pPr>
    <w:rPr>
      <w:rFonts w:cs="Calibri"/>
    </w:rPr>
  </w:style>
  <w:style w:type="paragraph" w:customStyle="1" w:styleId="12">
    <w:name w:val="表格格線1"/>
    <w:basedOn w:val="DocumentMap"/>
  </w:style>
  <w:style w:type="paragraph" w:styleId="ae">
    <w:name w:val="annotation text"/>
    <w:basedOn w:val="Textbody"/>
  </w:style>
  <w:style w:type="paragraph" w:customStyle="1" w:styleId="13">
    <w:name w:val="表格內文1"/>
    <w:pPr>
      <w:textAlignment w:val="auto"/>
    </w:pPr>
    <w:rPr>
      <w:rFonts w:ascii="Times New Roman" w:eastAsia="Times New Roman" w:hAnsi="Times New Roman"/>
      <w:sz w:val="20"/>
      <w:szCs w:val="20"/>
    </w:rPr>
  </w:style>
  <w:style w:type="character" w:customStyle="1" w:styleId="af">
    <w:name w:val="頁首 字元"/>
    <w:basedOn w:val="a2"/>
    <w:rPr>
      <w:sz w:val="20"/>
      <w:szCs w:val="20"/>
    </w:rPr>
  </w:style>
  <w:style w:type="character" w:customStyle="1" w:styleId="af0">
    <w:name w:val="頁尾 字元"/>
    <w:basedOn w:val="a2"/>
    <w:rPr>
      <w:sz w:val="20"/>
      <w:szCs w:val="20"/>
    </w:rPr>
  </w:style>
  <w:style w:type="character" w:customStyle="1" w:styleId="110">
    <w:name w:val="1.1(一) 字元"/>
    <w:rPr>
      <w:rFonts w:ascii="Times New Roman" w:eastAsia="新細明體" w:hAnsi="Times New Roman" w:cs="Times New Roman"/>
      <w:spacing w:val="10"/>
      <w:sz w:val="22"/>
      <w:szCs w:val="20"/>
    </w:rPr>
  </w:style>
  <w:style w:type="character" w:customStyle="1" w:styleId="20">
    <w:name w:val="標題 2 字元"/>
    <w:basedOn w:val="a2"/>
    <w:rPr>
      <w:rFonts w:ascii="標楷體" w:eastAsia="標楷體" w:hAnsi="標楷體" w:cs="Times New Roman"/>
      <w:b/>
      <w:bCs/>
      <w:kern w:val="0"/>
      <w:sz w:val="40"/>
      <w:szCs w:val="40"/>
    </w:rPr>
  </w:style>
  <w:style w:type="character" w:customStyle="1" w:styleId="14">
    <w:name w:val="1.文 字元"/>
    <w:rPr>
      <w:rFonts w:ascii="Times New Roman" w:eastAsia="標楷體" w:hAnsi="Times New Roman" w:cs="Times New Roman"/>
      <w:sz w:val="28"/>
      <w:szCs w:val="28"/>
    </w:rPr>
  </w:style>
  <w:style w:type="character" w:customStyle="1" w:styleId="af1">
    <w:name w:val="註解方塊文字 字元"/>
    <w:basedOn w:val="a2"/>
    <w:rPr>
      <w:rFonts w:ascii="Calibri Light" w:eastAsia="新細明體" w:hAnsi="Calibri Light" w:cs="Times New Roman"/>
      <w:spacing w:val="20"/>
      <w:kern w:val="0"/>
      <w:sz w:val="18"/>
      <w:szCs w:val="18"/>
    </w:rPr>
  </w:style>
  <w:style w:type="character" w:customStyle="1" w:styleId="af2">
    <w:name w:val="表格文字 字元"/>
    <w:rPr>
      <w:rFonts w:ascii="Arial" w:eastAsia="全真楷書" w:hAnsi="Arial" w:cs="Times New Roman"/>
      <w:kern w:val="0"/>
      <w:sz w:val="26"/>
      <w:szCs w:val="20"/>
    </w:rPr>
  </w:style>
  <w:style w:type="character" w:customStyle="1" w:styleId="NumberingSymbols">
    <w:name w:val="Numbering Symbols"/>
    <w:rPr>
      <w:rFonts w:eastAsia="標楷體"/>
      <w:sz w:val="28"/>
      <w:szCs w:val="28"/>
    </w:rPr>
  </w:style>
  <w:style w:type="character" w:styleId="af3">
    <w:name w:val="annotation reference"/>
    <w:basedOn w:val="a2"/>
    <w:rPr>
      <w:rFonts w:cs="Times New Roman"/>
      <w:sz w:val="18"/>
      <w:szCs w:val="18"/>
    </w:rPr>
  </w:style>
  <w:style w:type="character" w:customStyle="1" w:styleId="af4">
    <w:name w:val="註解文字 字元"/>
    <w:basedOn w:val="a2"/>
    <w:rPr>
      <w:rFonts w:cs="Times New Roman"/>
    </w:rPr>
  </w:style>
  <w:style w:type="numbering" w:customStyle="1" w:styleId="LFO21">
    <w:name w:val="LFO2_1"/>
    <w:basedOn w:val="a4"/>
    <w:pPr>
      <w:numPr>
        <w:numId w:val="1"/>
      </w:numPr>
    </w:pPr>
  </w:style>
  <w:style w:type="numbering" w:customStyle="1" w:styleId="LFO3">
    <w:name w:val="LFO3"/>
    <w:basedOn w:val="a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Downloads/&#20462;&#27491;&#26781;&#25991;%20(6)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賴欣怡</dc:creator>
  <dc:description/>
  <cp:lastModifiedBy>晶淨科技</cp:lastModifiedBy>
  <cp:revision>2</cp:revision>
  <cp:lastPrinted>2024-05-09T09:27:00Z</cp:lastPrinted>
  <dcterms:created xsi:type="dcterms:W3CDTF">2024-05-20T07:44:00Z</dcterms:created>
  <dcterms:modified xsi:type="dcterms:W3CDTF">2024-05-20T07:44:00Z</dcterms:modified>
</cp:coreProperties>
</file>